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immergés</w:t>
      </w:r>
    </w:p>
    <w:p>
      <w:pPr/>
      <w:r>
        <w:rPr/>
        <w:t xml:space="preserve">Version du 28/01/2020 à 07:23:28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immergés » permet d’évaluer le pourcentage de sédiments immergés dans les eaux du Parc inférieurs à la norme GEODE N1.</w:t>
      </w:r>
    </w:p>
    <w:p>
      <w:pPr/>
      <w:r>
        <w:rPr>
          <w:color w:val="B79247"/>
          <w:sz w:val="22"/>
          <w:szCs w:val="22"/>
          <w:b w:val="1"/>
          <w:bCs w:val="1"/>
        </w:rPr>
        <w:t xml:space="preserve">Objet évalué</w:t>
      </w:r>
    </w:p>
    <w:p>
      <w:pPr/>
      <w:r>
        <w:rPr/>
        <w:t xml:space="preserve">L’indicateur « Sédiments immergés » permet d’évaluer le pourcentage de sédiments immergés dans les eaux du Parc inférieurs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Sédiments dragués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immergés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A l'échelle des projets considérés dans le Parc</w:t>
      </w:r>
    </w:p>
    <w:p>
      <w:pPr/>
      <w:r>
        <w:rPr>
          <w:b w:val="1"/>
          <w:bCs w:val="1"/>
        </w:rPr>
        <w:t xml:space="preserve">Stratégie temporelle</w:t>
      </w:r>
    </w:p>
    <w:p>
      <w:pPr/>
      <w:r>
        <w:rPr/>
        <w:t xml:space="preserve">En fonction des projets déposés</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jc w:val="both"/>
      </w:pPr>
      <w:r>
        <w:rPr/>
        <w:t xml:space="preserve">Les analyses sont à la charge des porteurs de projet.</w:t>
      </w:r>
    </w:p>
    <w:p>
      <w:pPr>
        <w:jc w:val="both"/>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w:t>
      </w:r>
    </w:p>
    <w:p>
      <w:pPr>
        <w:jc w:val="both"/>
      </w:pPr>
      <w:r>
        <w:rPr/>
        <w:t xml:space="preserve">• Niveau 1 : concentrations en contaminant en dessous desquelles l'immersion peut être pratiquée sans études complémentaires,</w:t>
      </w:r>
    </w:p>
    <w:p>
      <w:pPr>
        <w:jc w:val="both"/>
      </w:pPr>
      <w:r>
        <w:rPr/>
        <w:t xml:space="preserve">• Niveau 2 : concentrations au - dessus desquelles l'immersion est susceptible d'être interdite, sous réserve que cette interdiction soit la solution la moins dommageable pour l'environnement.</w:t>
      </w:r>
    </w:p>
    <w:p>
      <w:pPr>
        <w:jc w:val="both"/>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p>
      <w:pPr>
        <w:jc w:val="center"/>
      </w:pPr>
      <w:r>
        <w:rPr/>
        <w:t xml:space="preserve"> </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p>
            <w:pPr>
              <w:jc w:val="center"/>
            </w:pPr>
            <w:r>
              <w:rPr/>
              <w:t xml:space="preserve">lourds</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42 : Tableau des niveaux de référence utilisé pour le bilan national du programme sédiment</w:t>
      </w:r>
    </w:p>
    <w:p>
      <w:pPr/>
      <w:r>
        <w:rPr/>
        <w:t xml:space="preserve">                                                du réseau REPOM (mg/Kg de sédiment sec)</w:t>
      </w:r>
    </w:p>
    <w:p>
      <w:pPr>
        <w:jc w:val="both"/>
      </w:pPr>
      <w:r>
        <w:rPr/>
        <w:t xml:space="preserve"> </w:t>
      </w:r>
    </w:p>
    <w:p>
      <w:pPr>
        <w:jc w:val="both"/>
      </w:pPr>
      <w:r>
        <w:rPr/>
        <w:t xml:space="preserve">Une comparaison des mesures effectuées ou prévues sera faite avec les normes de la grille GEODE. Dès qu’une mesure dépasse le seuil, le point est considéré comme mauvais.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des rejets de sédiments immergés inférieurs à N1</w:t>
      </w:r>
    </w:p>
    <w:p>
      <w:pPr/>
      <w:r>
        <w:rPr>
          <w:b w:val="1"/>
          <w:bCs w:val="1"/>
        </w:rPr>
        <w:t xml:space="preserve">Stratégie spatiale</w:t>
      </w:r>
    </w:p>
    <w:p>
      <w:pPr/>
      <w:r>
        <w:rPr/>
        <w:t xml:space="preserve">A l'échelle du Parc</w:t>
      </w:r>
    </w:p>
    <w:p>
      <w:pPr/>
      <w:r>
        <w:rPr>
          <w:b w:val="1"/>
          <w:bCs w:val="1"/>
        </w:rPr>
        <w:t xml:space="preserve">Stratégie temporelle</w:t>
      </w:r>
    </w:p>
    <w:p>
      <w:pPr/>
      <w:r>
        <w:rPr/>
        <w:t xml:space="preserve">Selon les projets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En fonction du nombre total de dossiers déposés pour des rejets de sédiments immergés au sein du Parc naturel marin d’Iroise, un pourcentage de rejets immergés inférieurs à la norme GEODE N1 sera calculé. Ce pourcentage donnera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valeur de la métrique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80" w:type="dxa"/>
        <w:gridCol w:w="160" w:type="dxa"/>
        <w:gridCol w:w="120" w:type="dxa"/>
        <w:gridCol w:w="120" w:type="dxa"/>
        <w:gridCol w:w="1300" w:type="dxa"/>
        <w:gridCol w:w="120" w:type="dxa"/>
        <w:gridCol w:w="120" w:type="dxa"/>
        <w:gridCol w:w="60" w:type="dxa"/>
      </w:tblGrid>
      <w:tblPr>
        <w:tblW w:w="10140" w:type="dxa"/>
        <w:tblLayout w:type="autofit"/>
      </w:tblPr>
      <w:tr>
        <w:trPr>
          <w:trHeight w:val="492" w:hRule="exact"/>
        </w:trPr>
        <w:tc>
          <w:tcPr>
            <w:tcW w:w="180" w:type="dxa"/>
            <w:tcMar>
              <w:top w:w="0" w:type="dxa"/>
              <w:start w:w="108" w:type="dxa"/>
              <w:bottom w:w="0" w:type="dxa"/>
              <w:end w:w="108" w:type="dxa"/>
            </w:tcMar>
            <w:noWrap/>
          </w:tcPr>
          <w:p>
            <w:pPr/>
            <w:r>
              <w:rPr/>
              <w:t xml:space="preserve">Métrique</w:t>
            </w:r>
          </w:p>
        </w:tc>
        <w:tc>
          <w:tcPr>
            <w:tcW w:w="160" w:type="dxa"/>
            <w:tcMar>
              <w:top w:w="0" w:type="dxa"/>
              <w:start w:w="108" w:type="dxa"/>
              <w:bottom w:w="0" w:type="dxa"/>
              <w:end w:w="108" w:type="dxa"/>
            </w:tcMar>
            <w:noWrap/>
          </w:tcPr>
          <w:p>
            <w:pPr>
              <w:jc w:val="center"/>
            </w:pPr>
            <w:r>
              <w:rPr/>
              <w:t xml:space="preserve">indéterminé</w:t>
            </w:r>
          </w:p>
        </w:tc>
        <w:tc>
          <w:tcPr>
            <w:tcW w:w="12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3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2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2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60" w:type="dxa"/>
            <w:tcMar>
              <w:top w:w="0" w:type="dxa"/>
              <w:start w:w="108" w:type="dxa"/>
              <w:bottom w:w="0" w:type="dxa"/>
              <w:end w:w="108" w:type="dxa"/>
            </w:tcMar>
            <w:vAlign w:val="top"/>
            <w:noWrap/>
          </w:tcPr>
          <w:p>
            <w:pPr>
              <w:jc w:val="center"/>
            </w:pPr>
            <w:r>
              <w:rPr/>
              <w:t xml:space="preserve">coefficient de pondération</w:t>
            </w:r>
          </w:p>
        </w:tc>
      </w:tr>
      <w:tr>
        <w:trPr>
          <w:trHeight w:val="474" w:hRule="exact"/>
        </w:trPr>
        <w:tc>
          <w:tcPr>
            <w:tcW w:w="180" w:type="dxa"/>
            <w:tcMar>
              <w:top w:w="0" w:type="dxa"/>
              <w:start w:w="108" w:type="dxa"/>
              <w:bottom w:w="0" w:type="dxa"/>
              <w:end w:w="108" w:type="dxa"/>
            </w:tcMar>
            <w:vAlign w:val="top"/>
            <w:noWrap/>
          </w:tcPr>
          <w:p>
            <w:pPr/>
            <w:r>
              <w:rPr/>
              <w:t xml:space="preserve">Pourcentage des rejets de boues immergées inférieures à N1 (%)</w:t>
            </w:r>
          </w:p>
        </w:tc>
        <w:tc>
          <w:tcPr>
            <w:tcW w:w="160" w:type="dxa"/>
            <w:tcMar>
              <w:top w:w="0" w:type="dxa"/>
              <w:start w:w="108" w:type="dxa"/>
              <w:bottom w:w="0" w:type="dxa"/>
              <w:end w:w="108" w:type="dxa"/>
            </w:tcMar>
            <w:noWrap/>
          </w:tcPr>
          <w:p>
            <w:pPr>
              <w:jc w:val="center"/>
            </w:pPr>
            <w:r>
              <w:rPr/>
              <w:t xml:space="preserve"> </w:t>
            </w:r>
          </w:p>
        </w:tc>
        <w:tc>
          <w:tcPr>
            <w:tcW w:w="120" w:type="dxa"/>
            <w:tcMar>
              <w:top w:w="0" w:type="dxa"/>
              <w:start w:w="108" w:type="dxa"/>
              <w:bottom w:w="0" w:type="dxa"/>
              <w:end w:w="108" w:type="dxa"/>
            </w:tcMar>
            <w:noWrap/>
          </w:tcPr>
          <w:p>
            <w:pPr>
              <w:jc w:val="center"/>
            </w:pPr>
            <w:r>
              <w:rPr/>
              <w:t xml:space="preserve">&lt;50%</w:t>
            </w:r>
          </w:p>
        </w:tc>
        <w:tc>
          <w:tcPr>
            <w:tcW w:w="120" w:type="dxa"/>
            <w:tcMar>
              <w:top w:w="0" w:type="dxa"/>
              <w:start w:w="108" w:type="dxa"/>
              <w:bottom w:w="0" w:type="dxa"/>
              <w:end w:w="108" w:type="dxa"/>
            </w:tcMar>
            <w:noWrap/>
          </w:tcPr>
          <w:p>
            <w:pPr>
              <w:jc w:val="center"/>
            </w:pPr>
            <w:r>
              <w:rPr/>
              <w:t xml:space="preserve">[50-70%[</w:t>
            </w:r>
          </w:p>
        </w:tc>
        <w:tc>
          <w:tcPr>
            <w:tcW w:w="1300" w:type="dxa"/>
            <w:tcMar>
              <w:top w:w="0" w:type="dxa"/>
              <w:start w:w="108" w:type="dxa"/>
              <w:bottom w:w="0" w:type="dxa"/>
              <w:end w:w="108" w:type="dxa"/>
            </w:tcMar>
            <w:noWrap/>
          </w:tcPr>
          <w:p>
            <w:pPr>
              <w:jc w:val="center"/>
            </w:pPr>
            <w:r>
              <w:rPr/>
              <w:t xml:space="preserve">[70-90%[</w:t>
            </w:r>
          </w:p>
        </w:tc>
        <w:tc>
          <w:tcPr>
            <w:tcW w:w="120" w:type="dxa"/>
            <w:tcMar>
              <w:top w:w="0" w:type="dxa"/>
              <w:start w:w="108" w:type="dxa"/>
              <w:bottom w:w="0" w:type="dxa"/>
              <w:end w:w="108" w:type="dxa"/>
            </w:tcMar>
            <w:noWrap/>
          </w:tcPr>
          <w:p>
            <w:pPr>
              <w:jc w:val="center"/>
            </w:pPr>
            <w:r>
              <w:rPr/>
              <w:t xml:space="preserve">[90-100%[</w:t>
            </w:r>
          </w:p>
        </w:tc>
        <w:tc>
          <w:tcPr>
            <w:tcW w:w="120" w:type="dxa"/>
            <w:tcMar>
              <w:top w:w="0" w:type="dxa"/>
              <w:start w:w="108" w:type="dxa"/>
              <w:bottom w:w="0" w:type="dxa"/>
              <w:end w:w="108" w:type="dxa"/>
            </w:tcMar>
            <w:noWrap/>
          </w:tcPr>
          <w:p>
            <w:pPr>
              <w:jc w:val="center"/>
            </w:pPr>
            <w:r>
              <w:rPr/>
              <w:t xml:space="preserve">100% ou pas d’immersion</w:t>
            </w:r>
          </w:p>
        </w:tc>
        <w:tc>
          <w:tcPr>
            <w:tcW w:w="60" w:type="dxa"/>
            <w:tcMar>
              <w:top w:w="0" w:type="dxa"/>
              <w:start w:w="108" w:type="dxa"/>
              <w:bottom w:w="0" w:type="dxa"/>
              <w:end w:w="108" w:type="dxa"/>
            </w:tcMar>
            <w:noWrap/>
          </w:tcPr>
          <w:p>
            <w:pPr>
              <w:jc w:val="center"/>
            </w:pPr>
            <w:r>
              <w:rPr/>
              <w:t xml:space="preserve">3</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