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Sédiments immergés</w:t>
      </w:r>
    </w:p>
    <w:p>
      <w:pPr/>
      <w:r>
        <w:rPr/>
        <w:t xml:space="preserve">Version du 28/01/2020 à 07:23:28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des sédiments immergés sont évalués selon la norme  du Groupe d’Etudes et d’Observations sur le Dragage et l’Environnement (GEODE) par le pourcentage de rejets de sédiments immergés inférieurs à N1 et le pourcentage de sédiments dragués supérieurs à N1, ainsi que par la turbidité ou la teneur en matière en suspension.</w:t>
      </w:r>
    </w:p>
    <w:p>
      <w:pPr/>
      <w:r>
        <w:rPr/>
        <w:t xml:space="preserve">L’indicateur « Sédiments immergés » permet d’évaluer le pourcentage de sédiments immergés dans les eaux du Parc inférieurs à la norme GEODE N1.</w:t>
      </w:r>
    </w:p>
    <w:p>
      <w:pPr/>
      <w:r>
        <w:rPr>
          <w:color w:val="B79247"/>
          <w:sz w:val="22"/>
          <w:szCs w:val="22"/>
          <w:b w:val="1"/>
          <w:bCs w:val="1"/>
        </w:rPr>
        <w:t xml:space="preserve">Objet évalué</w:t>
      </w:r>
    </w:p>
    <w:p>
      <w:pPr/>
      <w:r>
        <w:rPr/>
        <w:t xml:space="preserve">L’indicateur « Sédiments immergés » permet d’évaluer le pourcentage de sédiments immergés dans les eaux du Parc inférieurs à la norme GEODE N1.</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Sédiments dragués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Teneurs en éléments des sédiments immergés</w:t>
      </w:r>
    </w:p>
    <w:p>
      <w:pPr/>
      <w:r>
        <w:rPr>
          <w:b w:val="1"/>
          <w:bCs w:val="1"/>
        </w:rPr>
        <w:t xml:space="preserve">Source des données</w:t>
      </w:r>
    </w:p>
    <w:p>
      <w:pPr/>
      <w:r>
        <w:rPr/>
        <w:t xml:space="preserve">Direction Départementale des Territoires et de la Mer du Finistère</w:t>
      </w:r>
      <w:br/>
      <w:r>
        <w:rPr/>
        <w:t xml:space="preserve">Etudes d’impact fournies par les porteurs de projets de dragage ou d’immersion </w:t>
      </w:r>
      <w:br/>
      <w:r>
        <w:rPr/>
        <w:t xml:space="preserve">CEREMA via le suivi du réseau national de surveillance des ports maritimes (REPOM)</w:t>
      </w:r>
      <w:br/>
    </w:p>
    <w:p>
      <w:pPr/>
      <w:r>
        <w:rPr>
          <w:b w:val="1"/>
          <w:bCs w:val="1"/>
        </w:rPr>
        <w:t xml:space="preserve">Stratégie spatiale</w:t>
      </w:r>
    </w:p>
    <w:p>
      <w:pPr/>
      <w:r>
        <w:rPr/>
        <w:t xml:space="preserve">A l'échelle des projets considérés dans le Parc</w:t>
      </w:r>
    </w:p>
    <w:p>
      <w:pPr/>
      <w:r>
        <w:rPr>
          <w:b w:val="1"/>
          <w:bCs w:val="1"/>
        </w:rPr>
        <w:t xml:space="preserve">Stratégie temporelle</w:t>
      </w:r>
    </w:p>
    <w:p>
      <w:pPr/>
      <w:r>
        <w:rPr/>
        <w:t xml:space="preserve">En fonction des projets déposés</w:t>
      </w:r>
    </w:p>
    <w:p>
      <w:pPr/>
      <w:r>
        <w:rPr>
          <w:b w:val="1"/>
          <w:bCs w:val="1"/>
        </w:rPr>
        <w:t xml:space="preserve">Moyens humains et matériels</w:t>
      </w:r>
    </w:p>
    <w:p>
      <w:pPr/>
      <w:r>
        <w:rPr/>
        <w:t xml:space="preserve">Matériel : /</w:t>
      </w:r>
      <w:br/>
      <w:r>
        <w:rPr/>
        <w:t xml:space="preserve">Moyens humains : 1 chargé de mission</w:t>
      </w:r>
    </w:p>
    <w:p>
      <w:pPr/>
      <w:r>
        <w:rPr>
          <w:b w:val="1"/>
          <w:bCs w:val="1"/>
        </w:rPr>
        <w:t xml:space="preserve">Protocole de récolte</w:t>
      </w:r>
    </w:p>
    <w:p>
      <w:pPr/>
      <w:r>
        <w:rPr/>
        <w:t xml:space="preserve">Les analyses sont à la charge des porteurs de projet.</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p>
      <w:pPr/>
      <w:r>
        <w:rPr/>
        <w:t xml:space="preserve"> </w:t>
      </w:r>
    </w:p>
    <w:tbl>
      <w:tblGrid>
        <w:gridCol/>
        <w:gridCol/>
        <w:gridCol/>
        <w:gridCol/>
      </w:tblGrid>
      <w:tblPr>
        <w:tblW w:w="0" w:type="auto"/>
        <w:tblLayout w:type="autofit"/>
        <w:bidiVisual w:val="0"/>
      </w:tblPr>
      <w:tr>
        <w:trPr/>
        <w:tc>
          <w:tcPr/>
          <w:p>
            <w:pPr/>
            <w:r>
              <w:rPr/>
              <w:t xml:space="preserve"> </w:t>
            </w:r>
          </w:p>
        </w:tc>
        <w:tc>
          <w:tcPr/>
          <w:p>
            <w:pPr/>
            <w:r>
              <w:rPr/>
              <w:t xml:space="preserve"> </w:t>
            </w:r>
          </w:p>
        </w:tc>
        <w:tc>
          <w:tcPr/>
          <w:p>
            <w:pPr/>
            <w:r>
              <w:rPr/>
              <w:t xml:space="preserve">Niveau 1 (mg/Kg)</w:t>
            </w:r>
          </w:p>
        </w:tc>
        <w:tc>
          <w:tcPr/>
          <w:p>
            <w:pPr/>
            <w:r>
              <w:rPr/>
              <w:t xml:space="preserve">Niveau 2 (mg/Kg)</w:t>
            </w:r>
          </w:p>
        </w:tc>
      </w:tr>
      <w:tr>
        <w:trPr/>
        <w:tc>
          <w:tcPr/>
          <w:p>
            <w:pPr/>
            <w:r>
              <w:rPr/>
              <w:t xml:space="preserve">Métaux</w:t>
            </w:r>
          </w:p>
          <w:p>
            <w:pPr/>
            <w:r>
              <w:rPr/>
              <w:t xml:space="preserve">lourds</w:t>
            </w:r>
          </w:p>
        </w:tc>
        <w:tc>
          <w:tcPr/>
          <w:p>
            <w:pPr/>
            <w:r>
              <w:rPr/>
              <w:t xml:space="preserve">Arsenic</w:t>
            </w:r>
          </w:p>
        </w:tc>
        <w:tc>
          <w:tcPr/>
          <w:p>
            <w:pPr/>
            <w:r>
              <w:rPr/>
              <w:t xml:space="preserve">25</w:t>
            </w:r>
          </w:p>
        </w:tc>
        <w:tc>
          <w:tcPr/>
          <w:p>
            <w:pPr/>
            <w:r>
              <w:rPr/>
              <w:t xml:space="preserve">50</w:t>
            </w:r>
          </w:p>
        </w:tc>
      </w:tr>
      <w:tr>
        <w:trPr/>
        <w:tc>
          <w:tcPr/>
          <w:p>
            <w:pPr/>
            <w:r>
              <w:rPr/>
              <w:t xml:space="preserve">Cadmium</w:t>
            </w:r>
          </w:p>
        </w:tc>
        <w:tc>
          <w:tcPr/>
          <w:p>
            <w:pPr/>
            <w:r>
              <w:rPr/>
              <w:t xml:space="preserve">1,2</w:t>
            </w:r>
          </w:p>
        </w:tc>
        <w:tc>
          <w:tcPr/>
          <w:p>
            <w:pPr/>
            <w:r>
              <w:rPr/>
              <w:t xml:space="preserve">2,4</w:t>
            </w:r>
          </w:p>
        </w:tc>
      </w:tr>
      <w:tr>
        <w:trPr/>
        <w:tc>
          <w:tcPr/>
          <w:p>
            <w:pPr/>
            <w:r>
              <w:rPr/>
              <w:t xml:space="preserve">Chrome</w:t>
            </w:r>
          </w:p>
        </w:tc>
        <w:tc>
          <w:tcPr/>
          <w:p>
            <w:pPr/>
            <w:r>
              <w:rPr/>
              <w:t xml:space="preserve">90</w:t>
            </w:r>
          </w:p>
        </w:tc>
        <w:tc>
          <w:tcPr/>
          <w:p>
            <w:pPr/>
            <w:r>
              <w:rPr/>
              <w:t xml:space="preserve">180</w:t>
            </w:r>
          </w:p>
        </w:tc>
      </w:tr>
      <w:tr>
        <w:trPr/>
        <w:tc>
          <w:tcPr/>
          <w:p>
            <w:pPr/>
            <w:r>
              <w:rPr/>
              <w:t xml:space="preserve">Cuivre</w:t>
            </w:r>
          </w:p>
        </w:tc>
        <w:tc>
          <w:tcPr/>
          <w:p>
            <w:pPr/>
            <w:r>
              <w:rPr/>
              <w:t xml:space="preserve">45</w:t>
            </w:r>
          </w:p>
        </w:tc>
        <w:tc>
          <w:tcPr/>
          <w:p>
            <w:pPr/>
            <w:r>
              <w:rPr/>
              <w:t xml:space="preserve">90</w:t>
            </w:r>
          </w:p>
        </w:tc>
      </w:tr>
      <w:tr>
        <w:trPr/>
        <w:tc>
          <w:tcPr/>
          <w:p>
            <w:pPr/>
            <w:r>
              <w:rPr/>
              <w:t xml:space="preserve">Mercure</w:t>
            </w:r>
          </w:p>
        </w:tc>
        <w:tc>
          <w:tcPr/>
          <w:p>
            <w:pPr/>
            <w:r>
              <w:rPr/>
              <w:t xml:space="preserve">0,4</w:t>
            </w:r>
          </w:p>
        </w:tc>
        <w:tc>
          <w:tcPr/>
          <w:p>
            <w:pPr/>
            <w:r>
              <w:rPr/>
              <w:t xml:space="preserve">0,8</w:t>
            </w:r>
          </w:p>
        </w:tc>
      </w:tr>
      <w:tr>
        <w:trPr/>
        <w:tc>
          <w:tcPr/>
          <w:p>
            <w:pPr/>
            <w:r>
              <w:rPr/>
              <w:t xml:space="preserve">Plomb</w:t>
            </w:r>
          </w:p>
        </w:tc>
        <w:tc>
          <w:tcPr/>
          <w:p>
            <w:pPr/>
            <w:r>
              <w:rPr/>
              <w:t xml:space="preserve">100</w:t>
            </w:r>
          </w:p>
        </w:tc>
        <w:tc>
          <w:tcPr/>
          <w:p>
            <w:pPr/>
            <w:r>
              <w:rPr/>
              <w:t xml:space="preserve">200</w:t>
            </w:r>
          </w:p>
        </w:tc>
      </w:tr>
      <w:tr>
        <w:trPr/>
        <w:tc>
          <w:tcPr/>
          <w:p>
            <w:pPr/>
            <w:r>
              <w:rPr/>
              <w:t xml:space="preserve">Nickel</w:t>
            </w:r>
          </w:p>
        </w:tc>
        <w:tc>
          <w:tcPr/>
          <w:p>
            <w:pPr/>
            <w:r>
              <w:rPr/>
              <w:t xml:space="preserve">37</w:t>
            </w:r>
          </w:p>
        </w:tc>
        <w:tc>
          <w:tcPr/>
          <w:p>
            <w:pPr/>
            <w:r>
              <w:rPr/>
              <w:t xml:space="preserve">74</w:t>
            </w:r>
          </w:p>
        </w:tc>
      </w:tr>
      <w:tr>
        <w:trPr/>
        <w:tc>
          <w:tcPr/>
          <w:p>
            <w:pPr/>
            <w:r>
              <w:rPr/>
              <w:t xml:space="preserve">Zinc</w:t>
            </w:r>
          </w:p>
        </w:tc>
        <w:tc>
          <w:tcPr/>
          <w:p>
            <w:pPr/>
            <w:r>
              <w:rPr/>
              <w:t xml:space="preserve">276</w:t>
            </w:r>
          </w:p>
        </w:tc>
        <w:tc>
          <w:tcPr/>
          <w:p>
            <w:pPr/>
            <w:r>
              <w:rPr/>
              <w:t xml:space="preserve">552</w:t>
            </w:r>
          </w:p>
        </w:tc>
      </w:tr>
      <w:tr>
        <w:trPr/>
        <w:tc>
          <w:tcPr/>
          <w:p>
            <w:pPr/>
            <w:r>
              <w:rPr/>
              <w:t xml:space="preserve">Polychloro-</w:t>
            </w:r>
          </w:p>
          <w:p>
            <w:pPr/>
            <w:r>
              <w:rPr/>
              <w:t xml:space="preserve">biphényles</w:t>
            </w:r>
          </w:p>
        </w:tc>
        <w:tc>
          <w:tcPr/>
          <w:p>
            <w:pPr/>
            <w:r>
              <w:rPr/>
              <w:t xml:space="preserve">PCB28</w:t>
            </w:r>
          </w:p>
        </w:tc>
        <w:tc>
          <w:tcPr/>
          <w:p>
            <w:pPr/>
            <w:r>
              <w:rPr/>
              <w:t xml:space="preserve">0,025</w:t>
            </w:r>
          </w:p>
        </w:tc>
        <w:tc>
          <w:tcPr/>
          <w:p>
            <w:pPr/>
            <w:r>
              <w:rPr/>
              <w:t xml:space="preserve">0,050</w:t>
            </w:r>
          </w:p>
        </w:tc>
      </w:tr>
      <w:tr>
        <w:trPr/>
        <w:tc>
          <w:tcPr/>
          <w:p>
            <w:pPr/>
            <w:r>
              <w:rPr/>
              <w:t xml:space="preserve">PCB 52</w:t>
            </w:r>
          </w:p>
        </w:tc>
        <w:tc>
          <w:tcPr/>
          <w:p>
            <w:pPr/>
            <w:r>
              <w:rPr/>
              <w:t xml:space="preserve">0,025</w:t>
            </w:r>
          </w:p>
        </w:tc>
        <w:tc>
          <w:tcPr/>
          <w:p>
            <w:pPr/>
            <w:r>
              <w:rPr/>
              <w:t xml:space="preserve">0,050</w:t>
            </w:r>
          </w:p>
        </w:tc>
      </w:tr>
      <w:tr>
        <w:trPr/>
        <w:tc>
          <w:tcPr/>
          <w:p>
            <w:pPr/>
            <w:r>
              <w:rPr/>
              <w:t xml:space="preserve">PCB 101</w:t>
            </w:r>
          </w:p>
        </w:tc>
        <w:tc>
          <w:tcPr/>
          <w:p>
            <w:pPr/>
            <w:r>
              <w:rPr/>
              <w:t xml:space="preserve">0,050</w:t>
            </w:r>
          </w:p>
        </w:tc>
        <w:tc>
          <w:tcPr/>
          <w:p>
            <w:pPr/>
            <w:r>
              <w:rPr/>
              <w:t xml:space="preserve">0,100</w:t>
            </w:r>
          </w:p>
        </w:tc>
      </w:tr>
      <w:tr>
        <w:trPr/>
        <w:tc>
          <w:tcPr/>
          <w:p>
            <w:pPr/>
            <w:r>
              <w:rPr/>
              <w:t xml:space="preserve">PCB 118</w:t>
            </w:r>
          </w:p>
        </w:tc>
        <w:tc>
          <w:tcPr/>
          <w:p>
            <w:pPr/>
            <w:r>
              <w:rPr/>
              <w:t xml:space="preserve">0,025</w:t>
            </w:r>
          </w:p>
        </w:tc>
        <w:tc>
          <w:tcPr/>
          <w:p>
            <w:pPr/>
            <w:r>
              <w:rPr/>
              <w:t xml:space="preserve">0,050</w:t>
            </w:r>
          </w:p>
        </w:tc>
      </w:tr>
      <w:tr>
        <w:trPr/>
        <w:tc>
          <w:tcPr/>
          <w:p>
            <w:pPr/>
            <w:r>
              <w:rPr/>
              <w:t xml:space="preserve">PCB 138</w:t>
            </w:r>
          </w:p>
        </w:tc>
        <w:tc>
          <w:tcPr/>
          <w:p>
            <w:pPr/>
            <w:r>
              <w:rPr/>
              <w:t xml:space="preserve">0,050</w:t>
            </w:r>
          </w:p>
        </w:tc>
        <w:tc>
          <w:tcPr/>
          <w:p>
            <w:pPr/>
            <w:r>
              <w:rPr/>
              <w:t xml:space="preserve">0,100</w:t>
            </w:r>
          </w:p>
        </w:tc>
      </w:tr>
      <w:tr>
        <w:trPr/>
        <w:tc>
          <w:tcPr/>
          <w:p>
            <w:pPr/>
            <w:r>
              <w:rPr/>
              <w:t xml:space="preserve">PCB153</w:t>
            </w:r>
          </w:p>
        </w:tc>
        <w:tc>
          <w:tcPr/>
          <w:p>
            <w:pPr/>
            <w:r>
              <w:rPr/>
              <w:t xml:space="preserve">0,050</w:t>
            </w:r>
          </w:p>
        </w:tc>
        <w:tc>
          <w:tcPr/>
          <w:p>
            <w:pPr/>
            <w:r>
              <w:rPr/>
              <w:t xml:space="preserve">0,100</w:t>
            </w:r>
          </w:p>
        </w:tc>
      </w:tr>
      <w:tr>
        <w:trPr/>
        <w:tc>
          <w:tcPr/>
          <w:p>
            <w:pPr/>
            <w:r>
              <w:rPr/>
              <w:t xml:space="preserve">PCB 180</w:t>
            </w:r>
          </w:p>
        </w:tc>
        <w:tc>
          <w:tcPr/>
          <w:p>
            <w:pPr/>
            <w:r>
              <w:rPr/>
              <w:t xml:space="preserve">0,025</w:t>
            </w:r>
          </w:p>
        </w:tc>
        <w:tc>
          <w:tcPr/>
          <w:p>
            <w:pPr/>
            <w:r>
              <w:rPr/>
              <w:t xml:space="preserve">0,050</w:t>
            </w:r>
          </w:p>
        </w:tc>
      </w:tr>
      <w:tr>
        <w:trPr/>
        <w:tc>
          <w:tcPr/>
          <w:p>
            <w:pPr/>
            <w:r>
              <w:rPr/>
              <w:t xml:space="preserve">∑ PCB</w:t>
            </w:r>
          </w:p>
        </w:tc>
        <w:tc>
          <w:tcPr/>
          <w:p>
            <w:pPr/>
            <w:r>
              <w:rPr/>
              <w:t xml:space="preserve">0,5</w:t>
            </w:r>
          </w:p>
        </w:tc>
        <w:tc>
          <w:tcPr/>
          <w:p>
            <w:pPr/>
            <w:r>
              <w:rPr/>
              <w:t xml:space="preserve">1</w:t>
            </w:r>
          </w:p>
        </w:tc>
      </w:tr>
      <w:tr>
        <w:trPr/>
        <w:tc>
          <w:tcPr/>
          <w:p>
            <w:pPr/>
            <w:r>
              <w:rPr/>
              <w:t xml:space="preserve">Tributylétain</w:t>
            </w:r>
          </w:p>
        </w:tc>
        <w:tc>
          <w:tcPr/>
          <w:p>
            <w:pPr/>
            <w:r>
              <w:rPr/>
              <w:t xml:space="preserve">TBT</w:t>
            </w:r>
          </w:p>
        </w:tc>
        <w:tc>
          <w:tcPr/>
          <w:p>
            <w:pPr/>
            <w:r>
              <w:rPr/>
              <w:t xml:space="preserve">0,1</w:t>
            </w:r>
          </w:p>
        </w:tc>
        <w:tc>
          <w:tcPr/>
          <w:p>
            <w:pPr/>
            <w:r>
              <w:rPr/>
              <w:t xml:space="preserve">0,4</w:t>
            </w:r>
          </w:p>
        </w:tc>
      </w:tr>
      <w:tr>
        <w:trPr/>
        <w:tc>
          <w:tcPr/>
          <w:p>
            <w:pPr/>
            <w:r>
              <w:rPr/>
              <w:t xml:space="preserve">Hydrocarbures</w:t>
            </w:r>
          </w:p>
          <w:p>
            <w:pPr/>
            <w:r>
              <w:rPr/>
              <w:t xml:space="preserve">Aromatiques</w:t>
            </w:r>
          </w:p>
          <w:p>
            <w:pPr/>
            <w:r>
              <w:rPr/>
              <w:t xml:space="preserve">polycycliques</w:t>
            </w:r>
          </w:p>
        </w:tc>
        <w:tc>
          <w:tcPr/>
          <w:p>
            <w:pPr/>
            <w:r>
              <w:rPr/>
              <w:t xml:space="preserve">Benzo(a)pyrène</w:t>
            </w:r>
          </w:p>
        </w:tc>
        <w:tc>
          <w:tcPr/>
          <w:p>
            <w:pPr/>
            <w:r>
              <w:rPr/>
              <w:t xml:space="preserve">0,2</w:t>
            </w:r>
          </w:p>
        </w:tc>
        <w:tc>
          <w:tcPr/>
          <w:p>
            <w:pPr/>
            <w:r>
              <w:rPr/>
              <w:t xml:space="preserve">1</w:t>
            </w:r>
          </w:p>
        </w:tc>
      </w:tr>
      <w:tr>
        <w:trPr/>
        <w:tc>
          <w:tcPr/>
          <w:p>
            <w:pPr/>
            <w:r>
              <w:rPr/>
              <w:t xml:space="preserve">Benzo(b)fluoranthène</w:t>
            </w:r>
          </w:p>
        </w:tc>
        <w:tc>
          <w:tcPr/>
          <w:p>
            <w:pPr/>
            <w:r>
              <w:rPr/>
              <w:t xml:space="preserve">0,3</w:t>
            </w:r>
          </w:p>
        </w:tc>
        <w:tc>
          <w:tcPr/>
          <w:p>
            <w:pPr/>
            <w:r>
              <w:rPr/>
              <w:t xml:space="preserve">3</w:t>
            </w:r>
          </w:p>
        </w:tc>
      </w:tr>
      <w:tr>
        <w:trPr/>
        <w:tc>
          <w:tcPr/>
          <w:p>
            <w:pPr/>
            <w:r>
              <w:rPr/>
              <w:t xml:space="preserve">Benzo(ghi)perylène</w:t>
            </w:r>
          </w:p>
        </w:tc>
        <w:tc>
          <w:tcPr/>
          <w:p>
            <w:pPr/>
            <w:r>
              <w:rPr/>
              <w:t xml:space="preserve">0,2</w:t>
            </w:r>
          </w:p>
        </w:tc>
        <w:tc>
          <w:tcPr/>
          <w:p>
            <w:pPr/>
            <w:r>
              <w:rPr/>
              <w:t xml:space="preserve">1</w:t>
            </w:r>
          </w:p>
        </w:tc>
      </w:tr>
      <w:tr>
        <w:trPr/>
        <w:tc>
          <w:tcPr/>
          <w:p>
            <w:pPr/>
            <w:r>
              <w:rPr/>
              <w:t xml:space="preserve">Benzo(k)fluoranthène</w:t>
            </w:r>
          </w:p>
        </w:tc>
        <w:tc>
          <w:tcPr/>
          <w:p>
            <w:pPr/>
            <w:r>
              <w:rPr/>
              <w:t xml:space="preserve">0,2</w:t>
            </w:r>
          </w:p>
        </w:tc>
        <w:tc>
          <w:tcPr/>
          <w:p>
            <w:pPr/>
            <w:r>
              <w:rPr/>
              <w:t xml:space="preserve">2</w:t>
            </w:r>
          </w:p>
        </w:tc>
      </w:tr>
      <w:tr>
        <w:trPr/>
        <w:tc>
          <w:tcPr/>
          <w:p>
            <w:pPr/>
            <w:r>
              <w:rPr/>
              <w:t xml:space="preserve">Fluoranthène</w:t>
            </w:r>
          </w:p>
        </w:tc>
        <w:tc>
          <w:tcPr/>
          <w:p>
            <w:pPr/>
            <w:r>
              <w:rPr/>
              <w:t xml:space="preserve">0,4</w:t>
            </w:r>
          </w:p>
        </w:tc>
        <w:tc>
          <w:tcPr/>
          <w:p>
            <w:pPr/>
            <w:r>
              <w:rPr/>
              <w:t xml:space="preserve">5</w:t>
            </w:r>
          </w:p>
        </w:tc>
      </w:tr>
      <w:tr>
        <w:trPr/>
        <w:tc>
          <w:tcPr/>
          <w:p>
            <w:pPr/>
            <w:r>
              <w:rPr/>
              <w:t xml:space="preserve">Indeno(123cd)pyrène</w:t>
            </w:r>
          </w:p>
        </w:tc>
        <w:tc>
          <w:tcPr/>
          <w:p>
            <w:pPr/>
            <w:r>
              <w:rPr/>
              <w:t xml:space="preserve">0,2</w:t>
            </w:r>
          </w:p>
        </w:tc>
        <w:tc>
          <w:tcPr/>
          <w:p>
            <w:pPr/>
            <w:r>
              <w:rPr/>
              <w:t xml:space="preserve">1</w:t>
            </w:r>
          </w:p>
        </w:tc>
      </w:tr>
      <w:tr>
        <w:trPr/>
        <w:tc>
          <w:tcPr/>
          <w:p>
            <w:pPr/>
            <w:r>
              <w:rPr/>
              <w:t xml:space="preserve">Acénaphtène</w:t>
            </w:r>
          </w:p>
        </w:tc>
        <w:tc>
          <w:tcPr/>
          <w:p>
            <w:pPr/>
            <w:r>
              <w:rPr/>
              <w:t xml:space="preserve">0,11</w:t>
            </w:r>
          </w:p>
        </w:tc>
        <w:tc>
          <w:tcPr/>
          <w:p>
            <w:pPr/>
            <w:r>
              <w:rPr/>
              <w:t xml:space="preserve"> </w:t>
            </w:r>
          </w:p>
        </w:tc>
      </w:tr>
      <w:tr>
        <w:trPr/>
        <w:tc>
          <w:tcPr/>
          <w:p>
            <w:pPr/>
            <w:r>
              <w:rPr/>
              <w:t xml:space="preserve">Anthracène</w:t>
            </w:r>
          </w:p>
        </w:tc>
        <w:tc>
          <w:tcPr/>
          <w:p>
            <w:pPr/>
            <w:r>
              <w:rPr/>
              <w:t xml:space="preserve">0,51</w:t>
            </w:r>
          </w:p>
        </w:tc>
        <w:tc>
          <w:tcPr/>
          <w:p>
            <w:pPr/>
            <w:r>
              <w:rPr/>
              <w:t xml:space="preserve"> </w:t>
            </w:r>
          </w:p>
        </w:tc>
      </w:tr>
      <w:tr>
        <w:trPr/>
        <w:tc>
          <w:tcPr/>
          <w:p>
            <w:pPr/>
            <w:r>
              <w:rPr/>
              <w:t xml:space="preserve">Benzo(a)anthracène</w:t>
            </w:r>
          </w:p>
        </w:tc>
        <w:tc>
          <w:tcPr/>
          <w:p>
            <w:pPr/>
            <w:r>
              <w:rPr/>
              <w:t xml:space="preserve">0,71</w:t>
            </w:r>
          </w:p>
        </w:tc>
        <w:tc>
          <w:tcPr/>
          <w:p>
            <w:pPr/>
            <w:r>
              <w:rPr/>
              <w:t xml:space="preserve"> </w:t>
            </w:r>
          </w:p>
        </w:tc>
      </w:tr>
      <w:tr>
        <w:trPr/>
        <w:tc>
          <w:tcPr/>
          <w:p>
            <w:pPr/>
            <w:r>
              <w:rPr/>
              <w:t xml:space="preserve">Benzo(ah)anthracène</w:t>
            </w:r>
          </w:p>
        </w:tc>
        <w:tc>
          <w:tcPr/>
          <w:p>
            <w:pPr/>
            <w:r>
              <w:rPr/>
              <w:t xml:space="preserve">0,11</w:t>
            </w:r>
          </w:p>
        </w:tc>
        <w:tc>
          <w:tcPr/>
          <w:p>
            <w:pPr/>
            <w:r>
              <w:rPr/>
              <w:t xml:space="preserve"> </w:t>
            </w:r>
          </w:p>
        </w:tc>
      </w:tr>
      <w:tr>
        <w:trPr/>
        <w:tc>
          <w:tcPr/>
          <w:p>
            <w:pPr/>
            <w:r>
              <w:rPr/>
              <w:t xml:space="preserve">Chrysène</w:t>
            </w:r>
          </w:p>
        </w:tc>
        <w:tc>
          <w:tcPr/>
          <w:p>
            <w:pPr/>
            <w:r>
              <w:rPr/>
              <w:t xml:space="preserve">1,01</w:t>
            </w:r>
          </w:p>
        </w:tc>
        <w:tc>
          <w:tcPr/>
          <w:p>
            <w:pPr/>
            <w:r>
              <w:rPr/>
              <w:t xml:space="preserve"> </w:t>
            </w:r>
          </w:p>
        </w:tc>
      </w:tr>
      <w:tr>
        <w:trPr/>
        <w:tc>
          <w:tcPr/>
          <w:p>
            <w:pPr/>
            <w:r>
              <w:rPr/>
              <w:t xml:space="preserve">Dibenzo(ah)anthracène</w:t>
            </w:r>
          </w:p>
        </w:tc>
        <w:tc>
          <w:tcPr/>
          <w:p>
            <w:pPr/>
            <w:r>
              <w:rPr/>
              <w:t xml:space="preserve">0,1</w:t>
            </w:r>
          </w:p>
        </w:tc>
        <w:tc>
          <w:tcPr/>
          <w:p>
            <w:pPr/>
            <w:r>
              <w:rPr/>
              <w:t xml:space="preserve"> </w:t>
            </w:r>
          </w:p>
        </w:tc>
      </w:tr>
      <w:tr>
        <w:trPr/>
        <w:tc>
          <w:tcPr/>
          <w:p>
            <w:pPr/>
            <w:r>
              <w:rPr/>
              <w:t xml:space="preserve">Fluorène</w:t>
            </w:r>
          </w:p>
        </w:tc>
        <w:tc>
          <w:tcPr/>
          <w:p>
            <w:pPr/>
            <w:r>
              <w:rPr/>
              <w:t xml:space="preserve">0,17</w:t>
            </w:r>
          </w:p>
        </w:tc>
        <w:tc>
          <w:tcPr/>
          <w:p>
            <w:pPr/>
            <w:r>
              <w:rPr/>
              <w:t xml:space="preserve"> </w:t>
            </w:r>
          </w:p>
        </w:tc>
      </w:tr>
      <w:tr>
        <w:trPr/>
        <w:tc>
          <w:tcPr/>
          <w:p>
            <w:pPr/>
            <w:r>
              <w:rPr/>
              <w:t xml:space="preserve">Naphtalène</w:t>
            </w:r>
          </w:p>
        </w:tc>
        <w:tc>
          <w:tcPr/>
          <w:p>
            <w:pPr/>
            <w:r>
              <w:rPr/>
              <w:t xml:space="preserve">0,21</w:t>
            </w:r>
          </w:p>
        </w:tc>
        <w:tc>
          <w:tcPr/>
          <w:p>
            <w:pPr/>
            <w:r>
              <w:rPr/>
              <w:t xml:space="preserve"> </w:t>
            </w:r>
          </w:p>
        </w:tc>
      </w:tr>
      <w:tr>
        <w:trPr/>
        <w:tc>
          <w:tcPr/>
          <w:p>
            <w:pPr/>
            <w:r>
              <w:rPr/>
              <w:t xml:space="preserve">Phénanthrène</w:t>
            </w:r>
          </w:p>
        </w:tc>
        <w:tc>
          <w:tcPr/>
          <w:p>
            <w:pPr/>
            <w:r>
              <w:rPr/>
              <w:t xml:space="preserve">1,01</w:t>
            </w:r>
          </w:p>
        </w:tc>
        <w:tc>
          <w:tcPr/>
          <w:p>
            <w:pPr/>
            <w:r>
              <w:rPr/>
              <w:t xml:space="preserve"> </w:t>
            </w:r>
          </w:p>
        </w:tc>
      </w:tr>
      <w:tr>
        <w:trPr/>
        <w:tc>
          <w:tcPr/>
          <w:p>
            <w:pPr/>
            <w:r>
              <w:rPr/>
              <w:t xml:space="preserve">pyrène</w:t>
            </w:r>
          </w:p>
        </w:tc>
        <w:tc>
          <w:tcPr/>
          <w:p>
            <w:pPr/>
            <w:r>
              <w:rPr/>
              <w:t xml:space="preserve">1,51</w:t>
            </w:r>
          </w:p>
        </w:tc>
        <w:tc>
          <w:tcPr/>
          <w:p>
            <w:pPr/>
            <w:r>
              <w:rPr/>
              <w:t xml:space="preserve"> </w:t>
            </w:r>
          </w:p>
        </w:tc>
      </w:tr>
    </w:tbl>
    <w:p>
      <w:pPr/>
      <w:br/>
      <w:r>
        <w:rPr/>
        <w:t xml:space="preserve">                               Figure 42 : Tableau des niveaux de référence utilisé pour le bilan national du programme sédiment</w:t>
      </w:r>
    </w:p>
    <w:p>
      <w:pPr/>
      <w:r>
        <w:rPr/>
        <w:t xml:space="preserve">                                                du réseau REPOM (mg/Kg de sédiment sec)</w:t>
      </w:r>
    </w:p>
    <w:p>
      <w:pPr/>
      <w:r>
        <w:rPr/>
        <w:t xml:space="preserve"> </w:t>
      </w:r>
    </w:p>
    <w:p>
      <w:pPr/>
      <w:r>
        <w:rPr/>
        <w:t xml:space="preserve">Une comparaison des mesures effectuées ou prévues sera faite avec les normes de la grille GEODE. Dès qu’une mesure dépasse le seuil, le point est considéré comme mauvais.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des rejets de sédiments immergés inférieurs à N1</w:t>
      </w:r>
    </w:p>
    <w:p>
      <w:pPr/>
      <w:r>
        <w:rPr>
          <w:b w:val="1"/>
          <w:bCs w:val="1"/>
        </w:rPr>
        <w:t xml:space="preserve">Stratégie spatiale</w:t>
      </w:r>
    </w:p>
    <w:p>
      <w:pPr/>
      <w:r>
        <w:rPr/>
        <w:t xml:space="preserve">A l'échelle du Parc</w:t>
      </w:r>
    </w:p>
    <w:p>
      <w:pPr/>
      <w:r>
        <w:rPr>
          <w:b w:val="1"/>
          <w:bCs w:val="1"/>
        </w:rPr>
        <w:t xml:space="preserve">Stratégie temporelle</w:t>
      </w:r>
    </w:p>
    <w:p>
      <w:pPr/>
      <w:r>
        <w:rPr/>
        <w:t xml:space="preserve">Selon les projets</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r>
        <w:rPr/>
        <w:t xml:space="preserve">En fonction du nombre total de dossiers déposés pour des rejets de sédiments immergés au sein du Parc naturel marin d’Iroise, un pourcentage de rejets immergés inférieurs à la norme GEODE N1 sera calculé. Ce pourcentage donnera le résultat de la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Annuelle</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correspond à la valeur de la métrique interprétée selon la grille de lecture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Pourcentage des rejets de boues immergées inférieures à N1 (%)</w:t>
            </w:r>
          </w:p>
        </w:tc>
        <w:tc>
          <w:tcPr/>
          <w:p>
            <w:pPr/>
            <w:r>
              <w:rPr/>
              <w:t xml:space="preserve"> </w:t>
            </w:r>
          </w:p>
        </w:tc>
        <w:tc>
          <w:tcPr/>
          <w:p>
            <w:pPr/>
            <w:r>
              <w:rPr/>
              <w:t xml:space="preserve">&lt;50%</w:t>
            </w:r>
          </w:p>
        </w:tc>
        <w:tc>
          <w:tcPr/>
          <w:p>
            <w:pPr/>
            <w:r>
              <w:rPr/>
              <w:t xml:space="preserve">[50-70%[</w:t>
            </w:r>
          </w:p>
        </w:tc>
        <w:tc>
          <w:tcPr/>
          <w:p>
            <w:pPr/>
            <w:r>
              <w:rPr/>
              <w:t xml:space="preserve">[70-90%[</w:t>
            </w:r>
          </w:p>
        </w:tc>
        <w:tc>
          <w:tcPr/>
          <w:p>
            <w:pPr/>
            <w:r>
              <w:rPr/>
              <w:t xml:space="preserve">[90-100%[</w:t>
            </w:r>
          </w:p>
        </w:tc>
        <w:tc>
          <w:tcPr/>
          <w:p>
            <w:pPr/>
            <w:r>
              <w:rPr/>
              <w:t xml:space="preserve">100% ou pas d’immersion</w:t>
            </w:r>
          </w:p>
        </w:tc>
        <w:tc>
          <w:tcPr/>
          <w:p>
            <w:pPr/>
            <w:r>
              <w:rPr/>
              <w:t xml:space="preserve">3</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2026-05-20T09:15:44+02:00</dcterms:created>
  <dcterms:modified xsi:type="dcterms:W3CDTF">2026-05-20T09:15:44+02:00</dcterms:modified>
</cp:coreProperties>
</file>

<file path=docProps/custom.xml><?xml version="1.0" encoding="utf-8"?>
<Properties xmlns="http://schemas.openxmlformats.org/officeDocument/2006/custom-properties" xmlns:vt="http://schemas.openxmlformats.org/officeDocument/2006/docPropsVTypes"/>
</file>